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100" w:after="100"/>
        <w:rPr>
          <w:sz w:val="20"/>
          <w:szCs w:val="20"/>
        </w:rPr>
      </w:pPr>
      <w:r>
        <w:rPr>
          <w:sz w:val="20"/>
          <w:szCs w:val="20"/>
        </w:rPr>
        <w:t>TEMA 5. IMPERIALISMO Y I GUERRA MUNDIAL</w:t>
      </w:r>
    </w:p>
    <w:p>
      <w:pPr>
        <w:pStyle w:val="NormalWeb"/>
        <w:rPr>
          <w:sz w:val="20"/>
          <w:szCs w:val="20"/>
        </w:rPr>
      </w:pPr>
      <w:r>
        <w:rPr/>
      </w:r>
    </w:p>
    <w:p>
      <w:pPr>
        <w:pStyle w:val="NormalWeb"/>
        <w:rPr/>
      </w:pPr>
      <w:r>
        <w:rPr>
          <w:sz w:val="20"/>
          <w:szCs w:val="20"/>
        </w:rPr>
        <w:t>Es la británica la más grande de las razas dominantes que el mundo ha conocido y, por consiguiente, el poder determinante en la historia de la civilización universal. Y no puede cumplir su misión, que es crear el progreso de la cultura humana, si no es merced a la expansión de la dominación inglesa. El espíritu del país tendrá fuerzas para cumplir esta misión que nos ha impuesto la Historia y nuestro carácter nacional. [...] El Imperio británico, firmemente unido, y los Estados Unidos deben juntos asegurar la paz del mundo y asumir la pesada responsabilidad de educar para la civilización a los pueblos retrasados.</w:t>
      </w:r>
    </w:p>
    <w:p>
      <w:pPr>
        <w:pStyle w:val="NormalWeb"/>
        <w:rPr/>
      </w:pPr>
      <w:r>
        <w:rPr>
          <w:rStyle w:val="Strong"/>
          <w:sz w:val="20"/>
          <w:szCs w:val="20"/>
        </w:rPr>
        <w:t>Joseph Chamberlain al frente del Miisterio de Colonias británico, en 1895.</w:t>
      </w:r>
    </w:p>
    <w:p>
      <w:pPr>
        <w:pStyle w:val="Normal"/>
        <w:rPr>
          <w:sz w:val="20"/>
          <w:szCs w:val="20"/>
        </w:rPr>
      </w:pPr>
      <w:r>
        <w:rPr>
          <w:sz w:val="20"/>
          <w:szCs w:val="20"/>
        </w:rPr>
      </w:r>
    </w:p>
    <w:p>
      <w:pPr>
        <w:pStyle w:val="Normal"/>
        <w:rPr>
          <w:sz w:val="20"/>
          <w:szCs w:val="20"/>
        </w:rPr>
      </w:pPr>
      <w:r>
        <w:rPr>
          <w:sz w:val="20"/>
          <w:szCs w:val="20"/>
        </w:rPr>
      </w:r>
    </w:p>
    <w:p>
      <w:pPr>
        <w:pStyle w:val="Normal"/>
        <w:spacing w:lineRule="auto" w:line="360"/>
        <w:jc w:val="both"/>
        <w:rPr>
          <w:sz w:val="20"/>
          <w:szCs w:val="20"/>
        </w:rPr>
      </w:pPr>
      <w:r>
        <w:rPr>
          <w:b/>
          <w:sz w:val="20"/>
          <w:szCs w:val="20"/>
        </w:rPr>
        <w:t>Testimonio del embajador de EE.UU Beveridge (1900)</w:t>
      </w:r>
    </w:p>
    <w:p>
      <w:pPr>
        <w:pStyle w:val="Normal"/>
        <w:spacing w:lineRule="auto" w:line="360"/>
        <w:jc w:val="both"/>
        <w:rPr/>
      </w:pPr>
      <w:r>
        <w:rPr>
          <w:sz w:val="20"/>
          <w:szCs w:val="20"/>
        </w:rPr>
        <w:t>“</w:t>
      </w:r>
      <w:r>
        <w:rPr>
          <w:sz w:val="20"/>
          <w:szCs w:val="20"/>
        </w:rPr>
        <w:t>No son capaces de ejercer un gobierno propio.¿Cómo podrían serlo? No forman una raza capaz de gobernarse a sí misma […] Este problema […] es racial. Dios no ha venido preparando durante 1000 años a los pueblos teutónicos y de habla inglesa para una vana actitud de autocontemplación y autodeterminación. ¡No! Nos ha convertido en organizadores magistrales del mundo para imponer el sistema allí donde reina el caos […] Si no fuera por esta fuerza el mundo recaería en la barbarie y en la oscuridad. Y en toda nuestra raza Él señaló al pueblo norteamericano como la nación elegida para que dirigiera la regeneración del mundo”</w:t>
      </w:r>
    </w:p>
    <w:p>
      <w:pPr>
        <w:pStyle w:val="Normal"/>
        <w:shd w:val="clear" w:color="auto" w:fill="FFFFFF"/>
        <w:suppressAutoHyphens w:val="false"/>
        <w:spacing w:before="280" w:after="280"/>
        <w:rPr/>
      </w:pPr>
      <w:r>
        <w:rPr>
          <w:b/>
          <w:bCs/>
          <w:color w:val="000000"/>
          <w:sz w:val="20"/>
          <w:lang w:eastAsia="es-ES"/>
        </w:rPr>
        <w:t>ABC, lunes 29 de junio de 1914.</w:t>
      </w:r>
    </w:p>
    <w:p>
      <w:pPr>
        <w:pStyle w:val="Normal"/>
        <w:shd w:val="clear" w:color="auto" w:fill="FFFFFF"/>
        <w:suppressAutoHyphens w:val="false"/>
        <w:spacing w:before="280" w:after="280"/>
        <w:rPr/>
      </w:pPr>
      <w:r>
        <w:rPr>
          <w:color w:val="000000"/>
          <w:sz w:val="20"/>
          <w:szCs w:val="20"/>
          <w:lang w:eastAsia="es-ES"/>
        </w:rPr>
        <w:t>“</w:t>
      </w:r>
      <w:r>
        <w:rPr>
          <w:color w:val="000000"/>
          <w:sz w:val="20"/>
          <w:szCs w:val="20"/>
          <w:lang w:eastAsia="es-ES"/>
        </w:rPr>
        <w:t>(…) Según comunican de Sarajevo, capital de Bosnia, en dicha población han sido hoy (día 28) víctimas de un atentado criminal el archiduque heredero del Trono de Austria, Francisco Fernando, y su esposa, la condesa Choteck de Chotkowa, duquesa de Hohenberg (...) Aunque (...) Faltan muchos pormenores relativos a la forma en que se perpetró el atentado, el relato telegráfico desde Sarajevo da idea muy completa de toda la magnitud de la tragedia (...) Una vez terminada la recepción, el archiduque Francisco Fernando y la condesa Sofía volvieron a ocupar el automóvil para trasladarse a Konak (...) De repente, un joven empuñando una pistola Browning llegó hasta el automóvil e hizo cinco disparos, primero sobre el archiduque y después sobre su esposa (...) los dos heridos fueron trasladados a Konak, en donde se les prodigó todo género de auxilios. Desgraciadamente, todo ello resultó inútil, y los dos esposos (...) fallecieron a los pocos momentos de llegar a Palacio (...) Llámase el agresor Princip, tiene diecinueve años, es estudiante del último del Liceo (instituto) y es natural de Grahovo (...).”</w:t>
      </w:r>
    </w:p>
    <w:p>
      <w:pPr>
        <w:pStyle w:val="Cuerpodetexto"/>
        <w:jc w:val="both"/>
        <w:rPr>
          <w:sz w:val="20"/>
        </w:rPr>
      </w:pPr>
      <w:r>
        <w:rPr>
          <w:sz w:val="20"/>
        </w:rPr>
        <w:t>1. Prohibición de la diplomacia secreta en el futuro.</w:t>
      </w:r>
    </w:p>
    <w:p>
      <w:pPr>
        <w:pStyle w:val="Cuerpodetexto"/>
        <w:rPr>
          <w:sz w:val="20"/>
        </w:rPr>
      </w:pPr>
      <w:r>
        <w:rPr>
          <w:sz w:val="20"/>
        </w:rPr>
        <w:t>2. Absoluta libertad de navegación en la paz y en la guerra fuera de las aguas jurisdiccionales.</w:t>
      </w:r>
    </w:p>
    <w:p>
      <w:pPr>
        <w:pStyle w:val="Cuerpodetexto"/>
        <w:rPr>
          <w:sz w:val="20"/>
        </w:rPr>
      </w:pPr>
      <w:r>
        <w:rPr>
          <w:sz w:val="20"/>
        </w:rPr>
        <w:t xml:space="preserve">3. Desaparición de las barreras económicas. </w:t>
      </w:r>
    </w:p>
    <w:p>
      <w:pPr>
        <w:pStyle w:val="Cuerpodetexto"/>
        <w:rPr>
          <w:sz w:val="20"/>
        </w:rPr>
      </w:pPr>
      <w:r>
        <w:rPr>
          <w:sz w:val="20"/>
        </w:rPr>
        <w:t xml:space="preserve">4. Garantía de la reducción de los armamentos nacionales. </w:t>
      </w:r>
    </w:p>
    <w:p>
      <w:pPr>
        <w:pStyle w:val="Cuerpodetexto"/>
        <w:rPr>
          <w:sz w:val="20"/>
        </w:rPr>
      </w:pPr>
      <w:r>
        <w:rPr>
          <w:sz w:val="20"/>
        </w:rPr>
        <w:t>5. Reajuste, absolutamente imparcial, de las reclamaciones coloniales (...).</w:t>
      </w:r>
    </w:p>
    <w:p>
      <w:pPr>
        <w:pStyle w:val="Cuerpodetexto"/>
        <w:rPr>
          <w:sz w:val="20"/>
        </w:rPr>
      </w:pPr>
      <w:r>
        <w:rPr>
          <w:sz w:val="20"/>
        </w:rPr>
        <w:t xml:space="preserve">6. Evacuación de todo el territorio ruso, dándose a Rusia la oportunidad para su desarrollo. </w:t>
      </w:r>
    </w:p>
    <w:p>
      <w:pPr>
        <w:pStyle w:val="Cuerpodetexto"/>
        <w:rPr>
          <w:sz w:val="20"/>
        </w:rPr>
      </w:pPr>
      <w:r>
        <w:rPr>
          <w:sz w:val="20"/>
        </w:rPr>
        <w:t xml:space="preserve">7. Restauración de Bélgica en su completa y libre soberanía. </w:t>
      </w:r>
    </w:p>
    <w:p>
      <w:pPr>
        <w:pStyle w:val="Cuerpodetexto"/>
        <w:rPr>
          <w:sz w:val="20"/>
        </w:rPr>
      </w:pPr>
      <w:r>
        <w:rPr>
          <w:sz w:val="20"/>
        </w:rPr>
        <w:t xml:space="preserve">8. Liberación de todo el territorio francés y reparación de los perjuicios causados por Prusia en 1871. </w:t>
      </w:r>
    </w:p>
    <w:p>
      <w:pPr>
        <w:pStyle w:val="Cuerpodetexto"/>
        <w:rPr>
          <w:sz w:val="20"/>
        </w:rPr>
      </w:pPr>
      <w:r>
        <w:rPr>
          <w:sz w:val="20"/>
        </w:rPr>
        <w:t xml:space="preserve">9. Reajuste de las fronteras italianas de acuerdo con el principio de nacionalidad. </w:t>
      </w:r>
    </w:p>
    <w:p>
      <w:pPr>
        <w:pStyle w:val="Cuerpodetexto"/>
        <w:rPr>
          <w:sz w:val="20"/>
        </w:rPr>
      </w:pPr>
      <w:r>
        <w:rPr>
          <w:sz w:val="20"/>
        </w:rPr>
        <w:t xml:space="preserve">10. Desarrollo autónomo de los pueblos de Austria- Hungría. </w:t>
      </w:r>
    </w:p>
    <w:p>
      <w:pPr>
        <w:pStyle w:val="Cuerpodetexto"/>
        <w:rPr>
          <w:sz w:val="20"/>
        </w:rPr>
      </w:pPr>
      <w:r>
        <w:rPr>
          <w:sz w:val="20"/>
        </w:rPr>
        <w:t>11. Evacuación de Rumania, Serbia y Montenegro, concesión de un acceso al mar a Serbia y arreglo de las relaciones entre los Estados balcánicos de acuerdo con sus sentimientos y el principio de la nacionalidad.</w:t>
      </w:r>
    </w:p>
    <w:p>
      <w:pPr>
        <w:pStyle w:val="Cuerpodetexto"/>
        <w:rPr>
          <w:sz w:val="20"/>
        </w:rPr>
      </w:pPr>
      <w:r>
        <w:rPr>
          <w:sz w:val="20"/>
        </w:rPr>
        <w:t xml:space="preserve">12. Seguridad de desarrollo autónomo de las nacionalidades no turcas del Imperio Otomano. </w:t>
      </w:r>
    </w:p>
    <w:p>
      <w:pPr>
        <w:pStyle w:val="Cuerpodetexto"/>
        <w:rPr>
          <w:sz w:val="20"/>
        </w:rPr>
      </w:pPr>
      <w:r>
        <w:rPr>
          <w:sz w:val="20"/>
        </w:rPr>
        <w:t xml:space="preserve">13. Polonia, Estado independiente, con acceso al mar. </w:t>
      </w:r>
    </w:p>
    <w:p>
      <w:pPr>
        <w:pStyle w:val="Cuerpodetexto"/>
        <w:rPr>
          <w:sz w:val="20"/>
        </w:rPr>
      </w:pPr>
      <w:r>
        <w:rPr>
          <w:sz w:val="20"/>
        </w:rPr>
        <w:t xml:space="preserve">14. Asociación general de naciones, a constituir mecfiante pactos específicos con el propósito de garantizar mutuamente la independencia política y la integración territorial, tanto de los Estados grandes como e los pequeños. </w:t>
      </w:r>
    </w:p>
    <w:p>
      <w:pPr>
        <w:pStyle w:val="Cuerpodetexto"/>
        <w:spacing w:before="0" w:after="120"/>
        <w:rPr/>
      </w:pPr>
      <w:r>
        <w:rPr>
          <w:rStyle w:val="Muydestacado"/>
          <w:sz w:val="20"/>
        </w:rPr>
        <w:t>La propuesta del presidente Wilson. 1918.</w:t>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embedSystemFonts/>
  <w:defaultTabStop w:val="720"/>
  <w:autoHyphenation w:val="false"/>
  <w:compat/>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39eb"/>
    <w:pPr>
      <w:widowControl w:val="false"/>
      <w:suppressAutoHyphens w:val="true"/>
      <w:bidi w:val="0"/>
      <w:jc w:val="left"/>
    </w:pPr>
    <w:rPr>
      <w:rFonts w:eastAsia="SimSun" w:cs="Mangal" w:ascii="Times New Roman" w:hAnsi="Times New Roman"/>
      <w:color w:val="auto"/>
      <w:sz w:val="24"/>
      <w:szCs w:val="24"/>
      <w:lang w:val="es-ES" w:eastAsia="zh-CN" w:bidi="hi-IN"/>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sid w:val="007039eb"/>
    <w:rPr/>
  </w:style>
  <w:style w:type="character" w:styleId="AbsatzStandardschriftart" w:customStyle="1">
    <w:name w:val="Absatz-Standardschriftart"/>
    <w:qFormat/>
    <w:rsid w:val="007039eb"/>
    <w:rPr/>
  </w:style>
  <w:style w:type="character" w:styleId="WWAbsatzStandardschriftart" w:customStyle="1">
    <w:name w:val="WW-Absatz-Standardschriftart"/>
    <w:qFormat/>
    <w:rsid w:val="007039eb"/>
    <w:rPr/>
  </w:style>
  <w:style w:type="character" w:styleId="Strong">
    <w:name w:val="Strong"/>
    <w:basedOn w:val="Fuentedeprrafopredeter1"/>
    <w:qFormat/>
    <w:rsid w:val="007039eb"/>
    <w:rPr>
      <w:b/>
      <w:bCs/>
    </w:rPr>
  </w:style>
  <w:style w:type="character" w:styleId="Muydestacado">
    <w:name w:val="Muy destacado"/>
    <w:rPr>
      <w:b/>
      <w:bCs/>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rsid w:val="007039eb"/>
    <w:pPr>
      <w:spacing w:before="0" w:after="120"/>
    </w:pPr>
    <w:rPr/>
  </w:style>
  <w:style w:type="paragraph" w:styleId="Lista">
    <w:name w:val="Lista"/>
    <w:basedOn w:val="Cuerpodetexto"/>
    <w:rsid w:val="007039eb"/>
    <w:pPr/>
    <w:rPr/>
  </w:style>
  <w:style w:type="paragraph" w:styleId="Leyenda">
    <w:name w:val="Leyenda"/>
    <w:basedOn w:val="Normal"/>
    <w:pPr>
      <w:suppressLineNumbers/>
      <w:spacing w:before="120" w:after="120"/>
    </w:pPr>
    <w:rPr>
      <w:rFonts w:cs="Mangal"/>
      <w:i/>
      <w:iCs/>
      <w:sz w:val="24"/>
      <w:szCs w:val="24"/>
    </w:rPr>
  </w:style>
  <w:style w:type="paragraph" w:styleId="Ndice" w:customStyle="1">
    <w:name w:val="Índice"/>
    <w:basedOn w:val="Normal"/>
    <w:qFormat/>
    <w:rsid w:val="007039eb"/>
    <w:pPr>
      <w:suppressLineNumbers/>
    </w:pPr>
    <w:rPr/>
  </w:style>
  <w:style w:type="paragraph" w:styleId="Encapalament" w:customStyle="1">
    <w:name w:val="Encapçalament"/>
    <w:basedOn w:val="Normal"/>
    <w:qFormat/>
    <w:rsid w:val="007039eb"/>
    <w:pPr>
      <w:keepNext/>
      <w:spacing w:before="240" w:after="120"/>
    </w:pPr>
    <w:rPr>
      <w:rFonts w:ascii="Arial" w:hAnsi="Arial" w:eastAsia="Microsoft YaHei"/>
      <w:sz w:val="28"/>
      <w:szCs w:val="28"/>
    </w:rPr>
  </w:style>
  <w:style w:type="paragraph" w:styleId="Caption">
    <w:name w:val="caption"/>
    <w:basedOn w:val="Normal"/>
    <w:qFormat/>
    <w:rsid w:val="007039eb"/>
    <w:pPr>
      <w:suppressLineNumbers/>
      <w:spacing w:before="120" w:after="120"/>
    </w:pPr>
    <w:rPr>
      <w:i/>
      <w:iCs/>
    </w:rPr>
  </w:style>
  <w:style w:type="paragraph" w:styleId="Ndex" w:customStyle="1">
    <w:name w:val="Índex"/>
    <w:basedOn w:val="Normal"/>
    <w:qFormat/>
    <w:rsid w:val="007039eb"/>
    <w:pPr>
      <w:suppressLineNumbers/>
    </w:pPr>
    <w:rPr/>
  </w:style>
  <w:style w:type="paragraph" w:styleId="Encabezado1" w:customStyle="1">
    <w:name w:val="Encabezado1"/>
    <w:basedOn w:val="Normal"/>
    <w:qFormat/>
    <w:rsid w:val="007039eb"/>
    <w:pPr>
      <w:keepNext/>
      <w:spacing w:before="240" w:after="120"/>
    </w:pPr>
    <w:rPr>
      <w:rFonts w:ascii="Arial" w:hAnsi="Arial" w:eastAsia="Microsoft YaHei"/>
      <w:sz w:val="28"/>
      <w:szCs w:val="28"/>
    </w:rPr>
  </w:style>
  <w:style w:type="paragraph" w:styleId="Etiqueta" w:customStyle="1">
    <w:name w:val="Etiqueta"/>
    <w:basedOn w:val="Normal"/>
    <w:qFormat/>
    <w:rsid w:val="007039eb"/>
    <w:pPr>
      <w:suppressLineNumbers/>
      <w:spacing w:before="120" w:after="120"/>
    </w:pPr>
    <w:rPr>
      <w:i/>
      <w:iCs/>
    </w:rPr>
  </w:style>
  <w:style w:type="paragraph" w:styleId="NormalWeb">
    <w:name w:val="Normal (Web)"/>
    <w:basedOn w:val="Normal"/>
    <w:qFormat/>
    <w:rsid w:val="007039eb"/>
    <w:pPr>
      <w:widowControl/>
      <w:suppressAutoHyphens w:val="false"/>
      <w:spacing w:before="100" w:after="100"/>
    </w:pPr>
    <w:rPr>
      <w:rFonts w:eastAsia="Times New Roman" w:cs="Times New Roman"/>
      <w:lang w:val="en-US" w:bidi="ar-SA"/>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LibreOffice/5.0.4.2$Windows_x86 LibreOffice_project/2b9802c1994aa0b7dc6079e128979269cf95bc78</Application>
  <Paragraphs>22</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2017-01-30T20:14:00Z</dcterms:created>
  <dc:creator>Tony</dc:creator>
  <dc:language>ca-ES</dc:language>
  <cp:lastPrinted>2018-02-06T13:12:58Z</cp:lastPrinted>
  <dcterms:modified xsi:type="dcterms:W3CDTF">2018-02-06T13:14:32Z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